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AB997F">
      <w:pPr>
        <w:tabs>
          <w:tab w:val="left" w:pos="195"/>
        </w:tabs>
        <w:spacing w:line="500" w:lineRule="exact"/>
        <w:jc w:val="center"/>
        <w:rPr>
          <w:rFonts w:hint="default" w:eastAsia="宋体"/>
          <w:bCs/>
          <w:sz w:val="24"/>
          <w:highlight w:val="none"/>
          <w:lang w:val="en-US" w:eastAsia="zh-CN"/>
        </w:rPr>
      </w:pPr>
      <w:bookmarkStart w:id="0" w:name="_Hlk282766308"/>
      <w:r>
        <w:rPr>
          <w:kern w:val="0"/>
          <w:sz w:val="24"/>
        </w:rPr>
        <w:t>证券代码：300238         证券简称：冠昊生物         公告编号：</w:t>
      </w:r>
      <w:r>
        <w:rPr>
          <w:kern w:val="0"/>
          <w:sz w:val="24"/>
          <w:highlight w:val="none"/>
        </w:rPr>
        <w:t>20</w:t>
      </w:r>
      <w:r>
        <w:rPr>
          <w:rFonts w:hint="eastAsia"/>
          <w:kern w:val="0"/>
          <w:sz w:val="24"/>
          <w:highlight w:val="none"/>
        </w:rPr>
        <w:t>2</w:t>
      </w:r>
      <w:r>
        <w:rPr>
          <w:rFonts w:hint="eastAsia"/>
          <w:kern w:val="0"/>
          <w:sz w:val="24"/>
          <w:highlight w:val="none"/>
          <w:lang w:val="en-US" w:eastAsia="zh-CN"/>
        </w:rPr>
        <w:t>5</w:t>
      </w:r>
      <w:r>
        <w:rPr>
          <w:kern w:val="0"/>
          <w:sz w:val="24"/>
          <w:highlight w:val="none"/>
        </w:rPr>
        <w:t>-0</w:t>
      </w:r>
      <w:r>
        <w:rPr>
          <w:rFonts w:hint="eastAsia"/>
          <w:kern w:val="0"/>
          <w:sz w:val="24"/>
          <w:highlight w:val="none"/>
          <w:lang w:val="en-US" w:eastAsia="zh-CN"/>
        </w:rPr>
        <w:t>36</w:t>
      </w:r>
    </w:p>
    <w:p w14:paraId="2DB3F7E0">
      <w:pPr>
        <w:tabs>
          <w:tab w:val="left" w:pos="195"/>
        </w:tabs>
        <w:spacing w:before="468" w:beforeLines="150" w:line="500" w:lineRule="exact"/>
        <w:jc w:val="center"/>
        <w:rPr>
          <w:rFonts w:hint="eastAsia" w:ascii="黑体" w:hAnsi="黑体" w:eastAsia="黑体"/>
          <w:bCs/>
          <w:sz w:val="30"/>
          <w:szCs w:val="30"/>
          <w:highlight w:val="none"/>
        </w:rPr>
      </w:pPr>
      <w:r>
        <w:rPr>
          <w:rFonts w:hint="eastAsia" w:ascii="黑体" w:hAnsi="黑体" w:eastAsia="黑体"/>
          <w:bCs/>
          <w:sz w:val="30"/>
          <w:szCs w:val="30"/>
          <w:highlight w:val="none"/>
        </w:rPr>
        <w:t>冠昊生物科技股份有限公司</w:t>
      </w:r>
      <w:bookmarkEnd w:id="0"/>
    </w:p>
    <w:p w14:paraId="754620E3">
      <w:pPr>
        <w:tabs>
          <w:tab w:val="left" w:pos="195"/>
        </w:tabs>
        <w:spacing w:before="156" w:beforeLines="50" w:after="468" w:afterLines="150" w:line="500" w:lineRule="exact"/>
        <w:jc w:val="center"/>
        <w:rPr>
          <w:rFonts w:ascii="宋体" w:cs="宋体"/>
          <w:kern w:val="0"/>
          <w:sz w:val="24"/>
        </w:rPr>
      </w:pPr>
      <w:r>
        <w:rPr>
          <w:rFonts w:hint="eastAsia" w:ascii="黑体" w:hAnsi="黑体" w:eastAsia="黑体"/>
          <w:bCs/>
          <w:sz w:val="30"/>
          <w:szCs w:val="30"/>
        </w:rPr>
        <w:t>关于股价异动的公告</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61D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460" w:type="dxa"/>
            <w:noWrap w:val="0"/>
            <w:vAlign w:val="top"/>
          </w:tcPr>
          <w:p w14:paraId="5D02A447">
            <w:pPr>
              <w:autoSpaceDE w:val="0"/>
              <w:autoSpaceDN w:val="0"/>
              <w:adjustRightInd w:val="0"/>
              <w:spacing w:line="500" w:lineRule="exact"/>
              <w:ind w:firstLine="480" w:firstLineChars="200"/>
              <w:jc w:val="left"/>
              <w:rPr>
                <w:rFonts w:hint="eastAsia" w:ascii="宋体" w:cs="宋体"/>
                <w:kern w:val="0"/>
                <w:sz w:val="24"/>
              </w:rPr>
            </w:pPr>
            <w:r>
              <w:rPr>
                <w:rFonts w:hint="eastAsia" w:ascii="宋体" w:cs="宋体"/>
                <w:kern w:val="0"/>
                <w:sz w:val="24"/>
              </w:rPr>
              <w:t>本公司及董事会全体人员保证信息披露的内容真实、准确和完整，没有虚假记载、误导性陈述或者重大遗漏。</w:t>
            </w:r>
          </w:p>
        </w:tc>
      </w:tr>
    </w:tbl>
    <w:p w14:paraId="3E15D7A3">
      <w:pPr>
        <w:spacing w:before="156" w:beforeLines="50" w:line="500" w:lineRule="exact"/>
        <w:ind w:firstLine="482"/>
        <w:rPr>
          <w:rFonts w:hint="eastAsia" w:ascii="宋体" w:hAnsi="宋体"/>
          <w:b/>
          <w:sz w:val="24"/>
        </w:rPr>
      </w:pPr>
      <w:r>
        <w:rPr>
          <w:rFonts w:hint="eastAsia" w:ascii="宋体" w:hAnsi="宋体"/>
          <w:b/>
          <w:sz w:val="24"/>
        </w:rPr>
        <w:t>一、股票交易异常波动情况</w:t>
      </w:r>
    </w:p>
    <w:p w14:paraId="218C9A62">
      <w:pPr>
        <w:spacing w:after="156" w:afterLines="50" w:line="500" w:lineRule="exact"/>
        <w:ind w:firstLine="482"/>
        <w:rPr>
          <w:sz w:val="24"/>
        </w:rPr>
      </w:pPr>
      <w:r>
        <w:rPr>
          <w:rFonts w:hint="eastAsia" w:ascii="宋体" w:hAnsi="宋体"/>
          <w:sz w:val="24"/>
        </w:rPr>
        <w:t>公司</w:t>
      </w:r>
      <w:r>
        <w:rPr>
          <w:sz w:val="24"/>
        </w:rPr>
        <w:t>股票（证券代码：300238，证券简称：冠昊生物）于</w:t>
      </w:r>
      <w:r>
        <w:rPr>
          <w:sz w:val="24"/>
          <w:highlight w:val="none"/>
        </w:rPr>
        <w:t>20</w:t>
      </w:r>
      <w:r>
        <w:rPr>
          <w:rFonts w:hint="eastAsia"/>
          <w:sz w:val="24"/>
          <w:highlight w:val="none"/>
        </w:rPr>
        <w:t>2</w:t>
      </w:r>
      <w:r>
        <w:rPr>
          <w:rFonts w:hint="eastAsia"/>
          <w:sz w:val="24"/>
          <w:highlight w:val="none"/>
          <w:lang w:val="en-US" w:eastAsia="zh-CN"/>
        </w:rPr>
        <w:t>5</w:t>
      </w:r>
      <w:r>
        <w:rPr>
          <w:sz w:val="24"/>
          <w:highlight w:val="none"/>
        </w:rPr>
        <w:t>年</w:t>
      </w:r>
      <w:r>
        <w:rPr>
          <w:rFonts w:hint="eastAsia"/>
          <w:sz w:val="24"/>
          <w:highlight w:val="none"/>
          <w:lang w:val="en-US" w:eastAsia="zh-CN"/>
        </w:rPr>
        <w:t>5</w:t>
      </w:r>
      <w:r>
        <w:rPr>
          <w:sz w:val="24"/>
          <w:highlight w:val="none"/>
        </w:rPr>
        <w:t>月</w:t>
      </w:r>
      <w:r>
        <w:rPr>
          <w:rFonts w:hint="eastAsia"/>
          <w:sz w:val="24"/>
          <w:highlight w:val="none"/>
          <w:lang w:val="en-US" w:eastAsia="zh-CN"/>
        </w:rPr>
        <w:t>29</w:t>
      </w:r>
      <w:r>
        <w:rPr>
          <w:sz w:val="24"/>
          <w:highlight w:val="none"/>
        </w:rPr>
        <w:t>日、</w:t>
      </w:r>
      <w:r>
        <w:rPr>
          <w:rFonts w:hint="eastAsia"/>
          <w:sz w:val="24"/>
          <w:highlight w:val="none"/>
          <w:lang w:val="en-US" w:eastAsia="zh-CN"/>
        </w:rPr>
        <w:t>5</w:t>
      </w:r>
      <w:r>
        <w:rPr>
          <w:sz w:val="24"/>
          <w:highlight w:val="none"/>
        </w:rPr>
        <w:t>月</w:t>
      </w:r>
      <w:r>
        <w:rPr>
          <w:rFonts w:hint="eastAsia"/>
          <w:sz w:val="24"/>
          <w:highlight w:val="none"/>
          <w:lang w:val="en-US" w:eastAsia="zh-CN"/>
        </w:rPr>
        <w:t>30</w:t>
      </w:r>
      <w:r>
        <w:rPr>
          <w:rFonts w:hint="eastAsia"/>
          <w:sz w:val="24"/>
          <w:highlight w:val="none"/>
        </w:rPr>
        <w:t>日、</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3</w:t>
      </w:r>
      <w:r>
        <w:rPr>
          <w:rFonts w:hint="eastAsia"/>
          <w:sz w:val="24"/>
          <w:highlight w:val="none"/>
        </w:rPr>
        <w:t>日</w:t>
      </w:r>
      <w:r>
        <w:rPr>
          <w:sz w:val="24"/>
        </w:rPr>
        <w:t>连续</w:t>
      </w:r>
      <w:r>
        <w:rPr>
          <w:rFonts w:hint="eastAsia"/>
          <w:sz w:val="24"/>
        </w:rPr>
        <w:t>三</w:t>
      </w:r>
      <w:r>
        <w:rPr>
          <w:sz w:val="24"/>
        </w:rPr>
        <w:t>个交易日收盘价格</w:t>
      </w:r>
      <w:r>
        <w:rPr>
          <w:rFonts w:hint="eastAsia"/>
          <w:sz w:val="24"/>
          <w:lang w:val="en-US" w:eastAsia="zh-CN"/>
        </w:rPr>
        <w:t>涨</w:t>
      </w:r>
      <w:r>
        <w:rPr>
          <w:rFonts w:hint="eastAsia"/>
          <w:sz w:val="24"/>
        </w:rPr>
        <w:t>幅</w:t>
      </w:r>
      <w:r>
        <w:rPr>
          <w:sz w:val="24"/>
        </w:rPr>
        <w:t>偏离值累计</w:t>
      </w:r>
      <w:r>
        <w:rPr>
          <w:rFonts w:hint="eastAsia"/>
          <w:sz w:val="24"/>
          <w:lang w:val="en-US" w:eastAsia="zh-CN"/>
        </w:rPr>
        <w:t>达到3</w:t>
      </w:r>
      <w:r>
        <w:rPr>
          <w:sz w:val="24"/>
        </w:rPr>
        <w:t>0%，根据深圳证券交易所的相关规定，属于股票交易异常波动的</w:t>
      </w:r>
      <w:r>
        <w:rPr>
          <w:rFonts w:hint="eastAsia"/>
          <w:sz w:val="24"/>
        </w:rPr>
        <w:t>情形</w:t>
      </w:r>
      <w:r>
        <w:rPr>
          <w:sz w:val="24"/>
        </w:rPr>
        <w:t>。</w:t>
      </w:r>
    </w:p>
    <w:p w14:paraId="54983EF6">
      <w:pPr>
        <w:spacing w:before="156" w:beforeLines="50" w:line="500" w:lineRule="exact"/>
        <w:ind w:firstLine="482"/>
        <w:rPr>
          <w:rFonts w:hint="eastAsia" w:ascii="宋体" w:hAnsi="宋体"/>
          <w:b/>
          <w:sz w:val="24"/>
        </w:rPr>
      </w:pPr>
      <w:r>
        <w:rPr>
          <w:rFonts w:hint="eastAsia" w:ascii="宋体" w:hAnsi="宋体"/>
          <w:b/>
          <w:sz w:val="24"/>
        </w:rPr>
        <w:t>二、公司关注并核实情况说明</w:t>
      </w:r>
    </w:p>
    <w:p w14:paraId="6F61BC1C">
      <w:pPr>
        <w:spacing w:line="500" w:lineRule="exact"/>
        <w:ind w:firstLine="482"/>
        <w:rPr>
          <w:rFonts w:hint="eastAsia" w:ascii="宋体" w:hAnsi="宋体"/>
          <w:sz w:val="24"/>
        </w:rPr>
      </w:pPr>
      <w:r>
        <w:rPr>
          <w:rFonts w:hint="eastAsia" w:ascii="宋体" w:hAnsi="宋体"/>
          <w:sz w:val="24"/>
        </w:rPr>
        <w:t>针对公司股票交易异常波动情况，公司董事会通过电话及现场问询方式，对公司控股股东、实际控制人</w:t>
      </w:r>
      <w:r>
        <w:rPr>
          <w:rFonts w:hint="eastAsia" w:ascii="宋体" w:hAnsi="宋体"/>
          <w:sz w:val="24"/>
          <w:lang w:val="en-US" w:eastAsia="zh-CN"/>
        </w:rPr>
        <w:t>以</w:t>
      </w:r>
      <w:bookmarkStart w:id="1" w:name="_GoBack"/>
      <w:bookmarkEnd w:id="1"/>
      <w:r>
        <w:rPr>
          <w:rFonts w:hint="eastAsia" w:ascii="宋体" w:hAnsi="宋体"/>
          <w:sz w:val="24"/>
          <w:lang w:val="en-US" w:eastAsia="zh-CN"/>
        </w:rPr>
        <w:t>及</w:t>
      </w:r>
      <w:r>
        <w:rPr>
          <w:rFonts w:hint="eastAsia" w:ascii="宋体" w:hAnsi="宋体"/>
          <w:sz w:val="24"/>
        </w:rPr>
        <w:t>公司全体董事、监事及高级管理人员就相关问题进行了核实，现就相关情况说明如下：</w:t>
      </w:r>
    </w:p>
    <w:p w14:paraId="74FCB7CF">
      <w:pPr>
        <w:spacing w:line="500" w:lineRule="exact"/>
        <w:ind w:firstLine="482"/>
        <w:rPr>
          <w:sz w:val="24"/>
        </w:rPr>
      </w:pPr>
      <w:r>
        <w:rPr>
          <w:sz w:val="24"/>
        </w:rPr>
        <w:t>1、公司前期披露的信息不存在需要更正、补充之处；</w:t>
      </w:r>
    </w:p>
    <w:p w14:paraId="194E85C3">
      <w:pPr>
        <w:spacing w:line="500" w:lineRule="exact"/>
        <w:ind w:firstLine="480" w:firstLineChars="200"/>
        <w:rPr>
          <w:sz w:val="24"/>
        </w:rPr>
      </w:pPr>
      <w:r>
        <w:rPr>
          <w:sz w:val="24"/>
        </w:rPr>
        <w:t>2、公司目前经营正常，近期公司经营情况及内外部经营环境未发生重大变化；</w:t>
      </w:r>
    </w:p>
    <w:p w14:paraId="347AF11C">
      <w:pPr>
        <w:spacing w:line="500" w:lineRule="exact"/>
        <w:ind w:firstLine="480" w:firstLineChars="200"/>
        <w:rPr>
          <w:sz w:val="24"/>
        </w:rPr>
      </w:pPr>
      <w:r>
        <w:rPr>
          <w:sz w:val="24"/>
        </w:rPr>
        <w:t>3、公司未发现近期公共传媒报道了可能对本公司股票交易价格产生重大影响的</w:t>
      </w:r>
      <w:r>
        <w:rPr>
          <w:rFonts w:hint="eastAsia"/>
          <w:sz w:val="24"/>
        </w:rPr>
        <w:t>未公开重大</w:t>
      </w:r>
      <w:r>
        <w:rPr>
          <w:sz w:val="24"/>
        </w:rPr>
        <w:t>信息；</w:t>
      </w:r>
    </w:p>
    <w:p w14:paraId="48B34D72">
      <w:pPr>
        <w:spacing w:line="500" w:lineRule="exact"/>
        <w:ind w:firstLine="480" w:firstLineChars="200"/>
        <w:rPr>
          <w:sz w:val="24"/>
        </w:rPr>
      </w:pPr>
      <w:r>
        <w:rPr>
          <w:sz w:val="24"/>
        </w:rPr>
        <w:t>4、公司</w:t>
      </w:r>
      <w:r>
        <w:rPr>
          <w:rFonts w:hint="eastAsia"/>
          <w:sz w:val="24"/>
          <w:lang w:eastAsia="zh-CN"/>
        </w:rPr>
        <w:t>、</w:t>
      </w:r>
      <w:r>
        <w:rPr>
          <w:sz w:val="24"/>
        </w:rPr>
        <w:t>控股股东及实际控制人不存在关于公司应披露而未披露的重大事项，或处于筹划阶段的重大事项；</w:t>
      </w:r>
    </w:p>
    <w:p w14:paraId="5BC75878">
      <w:pPr>
        <w:spacing w:line="500" w:lineRule="exact"/>
        <w:ind w:firstLine="480" w:firstLineChars="200"/>
        <w:rPr>
          <w:sz w:val="24"/>
        </w:rPr>
      </w:pPr>
      <w:r>
        <w:rPr>
          <w:sz w:val="24"/>
        </w:rPr>
        <w:t>5、公司控股股东、实际控制人</w:t>
      </w:r>
      <w:r>
        <w:rPr>
          <w:rFonts w:hint="eastAsia"/>
          <w:sz w:val="24"/>
          <w:lang w:val="en-US" w:eastAsia="zh-CN"/>
        </w:rPr>
        <w:t>在</w:t>
      </w:r>
      <w:r>
        <w:rPr>
          <w:sz w:val="24"/>
        </w:rPr>
        <w:t>股票异常波动期间</w:t>
      </w:r>
      <w:r>
        <w:rPr>
          <w:rFonts w:hint="eastAsia"/>
          <w:sz w:val="24"/>
          <w:lang w:val="en-US" w:eastAsia="zh-CN"/>
        </w:rPr>
        <w:t>不存在</w:t>
      </w:r>
      <w:r>
        <w:rPr>
          <w:sz w:val="24"/>
        </w:rPr>
        <w:t>买卖公司股票的行为。</w:t>
      </w:r>
    </w:p>
    <w:p w14:paraId="5C52B16C">
      <w:pPr>
        <w:spacing w:before="156" w:beforeLines="50" w:line="500" w:lineRule="exact"/>
        <w:ind w:firstLine="482"/>
        <w:rPr>
          <w:rFonts w:hint="eastAsia" w:ascii="宋体" w:hAnsi="宋体"/>
          <w:b/>
          <w:sz w:val="24"/>
        </w:rPr>
      </w:pPr>
      <w:r>
        <w:rPr>
          <w:rFonts w:hint="eastAsia" w:ascii="宋体" w:hAnsi="宋体"/>
          <w:b/>
          <w:sz w:val="24"/>
        </w:rPr>
        <w:t>三、是否存在应披露而未披露信息的说明</w:t>
      </w:r>
    </w:p>
    <w:p w14:paraId="2A3EAD86">
      <w:pPr>
        <w:spacing w:after="156" w:afterLines="50" w:line="500" w:lineRule="exact"/>
        <w:ind w:firstLine="482"/>
        <w:rPr>
          <w:rFonts w:hint="eastAsia" w:ascii="宋体" w:hAnsi="宋体"/>
          <w:sz w:val="24"/>
        </w:rPr>
      </w:pPr>
      <w:r>
        <w:rPr>
          <w:rFonts w:hint="eastAsia" w:ascii="宋体" w:hAnsi="宋体"/>
          <w:sz w:val="24"/>
        </w:rPr>
        <w:t>公司董事会确认，除在指定媒体已公开披露的信息外，</w:t>
      </w:r>
      <w:r>
        <w:rPr>
          <w:rFonts w:hint="eastAsia" w:ascii="宋体" w:hAnsi="宋体"/>
          <w:sz w:val="24"/>
          <w:lang w:val="en-US" w:eastAsia="zh-CN"/>
        </w:rPr>
        <w:t>公司</w:t>
      </w:r>
      <w:r>
        <w:rPr>
          <w:rFonts w:hint="eastAsia" w:ascii="宋体" w:hAnsi="宋体"/>
          <w:sz w:val="24"/>
        </w:rPr>
        <w:t>目前没有其他任何根据《深圳证券交易所创业板股票上市规则》等有关规定应予以披露而未披露的事项或与该事项有关的筹划、商谈、意向、协议等；董事会也未获悉本公司有根据《深圳证券交易所创业板股票上市规则》等有关规定应予以披露而未披露的、对本公司股票及其衍生品种交易价格产生较大影响的信息；公司前期披露的信息不存在需要更正、补充之处。</w:t>
      </w:r>
    </w:p>
    <w:p w14:paraId="20258F97">
      <w:pPr>
        <w:spacing w:before="156" w:beforeLines="50" w:line="500" w:lineRule="exact"/>
        <w:ind w:firstLine="482"/>
        <w:rPr>
          <w:rFonts w:hint="eastAsia" w:ascii="宋体" w:hAnsi="宋体"/>
          <w:b/>
          <w:sz w:val="24"/>
        </w:rPr>
      </w:pPr>
      <w:r>
        <w:rPr>
          <w:rFonts w:hint="eastAsia" w:ascii="宋体" w:hAnsi="宋体"/>
          <w:b/>
          <w:sz w:val="24"/>
        </w:rPr>
        <w:t>四、风险提示</w:t>
      </w:r>
    </w:p>
    <w:p w14:paraId="1B9EEAAC">
      <w:pPr>
        <w:spacing w:line="500" w:lineRule="exact"/>
        <w:ind w:firstLine="482"/>
        <w:rPr>
          <w:rFonts w:hint="eastAsia" w:eastAsia="宋体"/>
          <w:sz w:val="24"/>
          <w:lang w:eastAsia="zh-CN"/>
        </w:rPr>
      </w:pPr>
      <w:r>
        <w:rPr>
          <w:sz w:val="24"/>
        </w:rPr>
        <w:t>1、公司经过自查，不存在违反公平信息披露的情形</w:t>
      </w:r>
      <w:r>
        <w:rPr>
          <w:rFonts w:hint="eastAsia"/>
          <w:sz w:val="24"/>
          <w:lang w:eastAsia="zh-CN"/>
        </w:rPr>
        <w:t>。</w:t>
      </w:r>
    </w:p>
    <w:p w14:paraId="0BEC7D1D">
      <w:pPr>
        <w:spacing w:line="500" w:lineRule="exact"/>
        <w:ind w:firstLine="482"/>
        <w:rPr>
          <w:rFonts w:hint="eastAsia" w:ascii="宋体" w:hAnsi="宋体"/>
          <w:sz w:val="24"/>
        </w:rPr>
      </w:pPr>
      <w:r>
        <w:rPr>
          <w:sz w:val="24"/>
        </w:rPr>
        <w:t>2、</w:t>
      </w:r>
      <w:r>
        <w:rPr>
          <w:rFonts w:hint="eastAsia" w:ascii="宋体" w:hAnsi="宋体"/>
          <w:sz w:val="24"/>
        </w:rPr>
        <w:t>公司郑重提醒广大投资者：公司</w:t>
      </w:r>
      <w:r>
        <w:rPr>
          <w:rFonts w:hint="eastAsia" w:ascii="宋体" w:hAnsi="宋体"/>
          <w:sz w:val="24"/>
          <w:lang w:val="en-US" w:eastAsia="zh-CN"/>
        </w:rPr>
        <w:t>制定</w:t>
      </w:r>
      <w:r>
        <w:rPr>
          <w:rFonts w:hint="eastAsia" w:ascii="宋体" w:hAnsi="宋体"/>
          <w:sz w:val="24"/>
        </w:rPr>
        <w:t>的信息披露媒体</w:t>
      </w:r>
      <w:r>
        <w:rPr>
          <w:rFonts w:hint="eastAsia" w:ascii="宋体" w:hAnsi="宋体"/>
          <w:sz w:val="24"/>
          <w:lang w:val="en-US" w:eastAsia="zh-CN"/>
        </w:rPr>
        <w:t>为</w:t>
      </w:r>
      <w:r>
        <w:rPr>
          <w:rFonts w:hint="eastAsia" w:ascii="宋体" w:hAnsi="宋体"/>
          <w:sz w:val="24"/>
        </w:rPr>
        <w:t>《证券时报》《中国证券报》《上海证券报》《证券日报》和巨潮资讯网</w:t>
      </w:r>
      <w:r>
        <w:rPr>
          <w:rFonts w:hint="eastAsia" w:ascii="宋体" w:hAnsi="宋体"/>
          <w:sz w:val="24"/>
          <w:lang w:eastAsia="zh-CN"/>
        </w:rPr>
        <w:t>（</w:t>
      </w:r>
      <w:r>
        <w:rPr>
          <w:rFonts w:hint="default" w:ascii="Times New Roman" w:hAnsi="Times New Roman" w:cs="Times New Roman"/>
          <w:sz w:val="24"/>
          <w:lang w:eastAsia="zh-CN"/>
        </w:rPr>
        <w:t>http://www.cninfo.com.cn</w:t>
      </w:r>
      <w:r>
        <w:rPr>
          <w:rFonts w:hint="eastAsia" w:ascii="宋体" w:hAnsi="宋体"/>
          <w:sz w:val="24"/>
          <w:lang w:eastAsia="zh-CN"/>
        </w:rPr>
        <w:t>）</w:t>
      </w:r>
      <w:r>
        <w:rPr>
          <w:rFonts w:hint="eastAsia" w:ascii="宋体" w:hAnsi="宋体"/>
          <w:sz w:val="24"/>
        </w:rPr>
        <w:t>，公司所有信息均以在上述指定媒体刊登的信息为准。</w:t>
      </w:r>
    </w:p>
    <w:p w14:paraId="1E9E414A">
      <w:pPr>
        <w:spacing w:after="156" w:afterLines="50" w:line="500" w:lineRule="exact"/>
        <w:ind w:firstLine="482"/>
        <w:rPr>
          <w:rFonts w:hint="eastAsia" w:ascii="宋体" w:hAnsi="宋体"/>
          <w:sz w:val="24"/>
        </w:rPr>
      </w:pPr>
      <w:r>
        <w:rPr>
          <w:rFonts w:hint="eastAsia"/>
          <w:sz w:val="24"/>
          <w:lang w:val="en-US" w:eastAsia="zh-CN"/>
        </w:rPr>
        <w:t>3、</w:t>
      </w:r>
      <w:r>
        <w:rPr>
          <w:rFonts w:hint="eastAsia" w:ascii="宋体" w:hAnsi="宋体"/>
          <w:sz w:val="24"/>
        </w:rPr>
        <w:t>公司将严格按照有关法律法规的规定和要求，认真履行信息披露义务，及时做好信息披露工作。敬请广大投资者理性投资，注意风险。</w:t>
      </w:r>
    </w:p>
    <w:p w14:paraId="50308D58">
      <w:pPr>
        <w:spacing w:before="156" w:beforeLines="50" w:line="500" w:lineRule="exact"/>
        <w:ind w:firstLine="482"/>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五、备查文件</w:t>
      </w:r>
    </w:p>
    <w:p w14:paraId="52201512">
      <w:pPr>
        <w:spacing w:line="500" w:lineRule="exact"/>
        <w:ind w:firstLine="482"/>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1、公司向有关人员的</w:t>
      </w:r>
      <w:r>
        <w:rPr>
          <w:rFonts w:hint="eastAsia" w:cs="Times New Roman"/>
          <w:sz w:val="24"/>
          <w:lang w:val="en-US" w:eastAsia="zh-CN"/>
        </w:rPr>
        <w:t>问询</w:t>
      </w:r>
      <w:r>
        <w:rPr>
          <w:rFonts w:hint="default" w:ascii="Times New Roman" w:hAnsi="Times New Roman" w:eastAsia="宋体" w:cs="Times New Roman"/>
          <w:sz w:val="24"/>
          <w:lang w:val="en-US" w:eastAsia="zh-CN"/>
        </w:rPr>
        <w:t>函及回函</w:t>
      </w:r>
      <w:r>
        <w:rPr>
          <w:rFonts w:hint="eastAsia" w:cs="Times New Roman"/>
          <w:sz w:val="24"/>
          <w:lang w:val="en-US" w:eastAsia="zh-CN"/>
        </w:rPr>
        <w:t>。</w:t>
      </w:r>
    </w:p>
    <w:p w14:paraId="1EA4CDC5">
      <w:pPr>
        <w:spacing w:before="156" w:beforeLines="50" w:after="156" w:afterLines="50" w:line="500" w:lineRule="exact"/>
        <w:ind w:firstLine="480" w:firstLineChars="200"/>
        <w:rPr>
          <w:rFonts w:hint="eastAsia" w:ascii="宋体" w:hAnsi="宋体"/>
          <w:sz w:val="24"/>
        </w:rPr>
      </w:pPr>
      <w:r>
        <w:rPr>
          <w:rFonts w:hint="eastAsia" w:ascii="宋体" w:hAnsi="宋体"/>
          <w:sz w:val="24"/>
        </w:rPr>
        <w:t>特此公告。</w:t>
      </w:r>
    </w:p>
    <w:p w14:paraId="5A801FB6">
      <w:pPr>
        <w:spacing w:before="312" w:beforeLines="100" w:line="500" w:lineRule="exact"/>
        <w:ind w:firstLine="4320" w:firstLineChars="1800"/>
        <w:jc w:val="right"/>
        <w:rPr>
          <w:rFonts w:ascii="宋体" w:hAnsi="宋体"/>
          <w:sz w:val="24"/>
        </w:rPr>
      </w:pPr>
      <w:r>
        <w:rPr>
          <w:rFonts w:hint="eastAsia" w:ascii="宋体" w:hAnsi="宋体"/>
          <w:sz w:val="24"/>
        </w:rPr>
        <w:t>冠昊生物科技股份有限公司董事会</w:t>
      </w:r>
    </w:p>
    <w:p w14:paraId="17ED6CE3">
      <w:pPr>
        <w:wordWrap w:val="0"/>
        <w:spacing w:line="500" w:lineRule="exact"/>
        <w:jc w:val="right"/>
        <w:rPr>
          <w:rFonts w:hint="default" w:eastAsia="宋体"/>
          <w:sz w:val="24"/>
          <w:lang w:val="en-US" w:eastAsia="zh-CN"/>
        </w:rPr>
      </w:pPr>
      <w:r>
        <w:rPr>
          <w:sz w:val="24"/>
        </w:rPr>
        <w:t>20</w:t>
      </w:r>
      <w:r>
        <w:rPr>
          <w:rFonts w:hint="eastAsia"/>
          <w:sz w:val="24"/>
        </w:rPr>
        <w:t>2</w:t>
      </w:r>
      <w:r>
        <w:rPr>
          <w:rFonts w:hint="eastAsia"/>
          <w:sz w:val="24"/>
          <w:lang w:val="en-US" w:eastAsia="zh-CN"/>
        </w:rPr>
        <w:t>5</w:t>
      </w:r>
      <w:r>
        <w:rPr>
          <w:sz w:val="24"/>
        </w:rPr>
        <w:t>年</w:t>
      </w:r>
      <w:r>
        <w:rPr>
          <w:rFonts w:hint="eastAsia"/>
          <w:sz w:val="24"/>
          <w:lang w:val="en-US" w:eastAsia="zh-CN"/>
        </w:rPr>
        <w:t>6</w:t>
      </w:r>
      <w:r>
        <w:rPr>
          <w:sz w:val="24"/>
        </w:rPr>
        <w:t>月</w:t>
      </w:r>
      <w:r>
        <w:rPr>
          <w:rFonts w:hint="eastAsia"/>
          <w:sz w:val="24"/>
          <w:lang w:val="en-US" w:eastAsia="zh-CN"/>
        </w:rPr>
        <w:t>4</w:t>
      </w:r>
      <w:r>
        <w:rPr>
          <w:sz w:val="24"/>
        </w:rPr>
        <w:t>日</w:t>
      </w:r>
      <w:r>
        <w:rPr>
          <w:rFonts w:hint="eastAsia"/>
          <w:sz w:val="24"/>
          <w:lang w:val="en-US" w:eastAsia="zh-CN"/>
        </w:rPr>
        <w:t xml:space="preserve">       </w:t>
      </w:r>
    </w:p>
    <w:sectPr>
      <w:footerReference r:id="rId3" w:type="even"/>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331D">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5786618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OTk1ZDM4MjkzZjgxMjZiN2M3ZjNmNDQ5NGIzZGYifQ=="/>
  </w:docVars>
  <w:rsids>
    <w:rsidRoot w:val="00172A27"/>
    <w:rsid w:val="00011002"/>
    <w:rsid w:val="00013EAE"/>
    <w:rsid w:val="00025368"/>
    <w:rsid w:val="00052492"/>
    <w:rsid w:val="00062EB3"/>
    <w:rsid w:val="00090935"/>
    <w:rsid w:val="000A3362"/>
    <w:rsid w:val="000A3696"/>
    <w:rsid w:val="000A5D4C"/>
    <w:rsid w:val="000A77E6"/>
    <w:rsid w:val="000B728C"/>
    <w:rsid w:val="000C2AC8"/>
    <w:rsid w:val="000F4CA5"/>
    <w:rsid w:val="000F5091"/>
    <w:rsid w:val="00104081"/>
    <w:rsid w:val="00105B57"/>
    <w:rsid w:val="001105A4"/>
    <w:rsid w:val="00116485"/>
    <w:rsid w:val="001255F4"/>
    <w:rsid w:val="00131DD6"/>
    <w:rsid w:val="00132F84"/>
    <w:rsid w:val="00136ADA"/>
    <w:rsid w:val="00150E5B"/>
    <w:rsid w:val="00164259"/>
    <w:rsid w:val="00167150"/>
    <w:rsid w:val="00170C94"/>
    <w:rsid w:val="00170E33"/>
    <w:rsid w:val="00172017"/>
    <w:rsid w:val="001763A2"/>
    <w:rsid w:val="00184F80"/>
    <w:rsid w:val="00194198"/>
    <w:rsid w:val="00197265"/>
    <w:rsid w:val="001A559B"/>
    <w:rsid w:val="001A7D61"/>
    <w:rsid w:val="001B28D3"/>
    <w:rsid w:val="001C49F2"/>
    <w:rsid w:val="001D67F2"/>
    <w:rsid w:val="001E1777"/>
    <w:rsid w:val="001E2D70"/>
    <w:rsid w:val="001E569F"/>
    <w:rsid w:val="001F6A33"/>
    <w:rsid w:val="00201673"/>
    <w:rsid w:val="002160D5"/>
    <w:rsid w:val="00217438"/>
    <w:rsid w:val="002230EC"/>
    <w:rsid w:val="00223BC7"/>
    <w:rsid w:val="00230E21"/>
    <w:rsid w:val="00231AA0"/>
    <w:rsid w:val="002404B5"/>
    <w:rsid w:val="00244EA4"/>
    <w:rsid w:val="002503A1"/>
    <w:rsid w:val="00252119"/>
    <w:rsid w:val="002549A2"/>
    <w:rsid w:val="002641C6"/>
    <w:rsid w:val="00270050"/>
    <w:rsid w:val="002734FE"/>
    <w:rsid w:val="00277971"/>
    <w:rsid w:val="00287251"/>
    <w:rsid w:val="002A741E"/>
    <w:rsid w:val="002B0DDE"/>
    <w:rsid w:val="002C0947"/>
    <w:rsid w:val="002C24E0"/>
    <w:rsid w:val="002C4F76"/>
    <w:rsid w:val="002C682B"/>
    <w:rsid w:val="002D24AB"/>
    <w:rsid w:val="002E46F8"/>
    <w:rsid w:val="002E507E"/>
    <w:rsid w:val="002F0E2D"/>
    <w:rsid w:val="002F14E5"/>
    <w:rsid w:val="002F258B"/>
    <w:rsid w:val="002F4052"/>
    <w:rsid w:val="002F5234"/>
    <w:rsid w:val="002F6ED0"/>
    <w:rsid w:val="003006AC"/>
    <w:rsid w:val="00317F73"/>
    <w:rsid w:val="00345C89"/>
    <w:rsid w:val="00363EC0"/>
    <w:rsid w:val="003673BF"/>
    <w:rsid w:val="0037062E"/>
    <w:rsid w:val="00370ECE"/>
    <w:rsid w:val="00371650"/>
    <w:rsid w:val="00376356"/>
    <w:rsid w:val="0038167A"/>
    <w:rsid w:val="00395E18"/>
    <w:rsid w:val="00397E0F"/>
    <w:rsid w:val="003A5A57"/>
    <w:rsid w:val="003B1ADA"/>
    <w:rsid w:val="003C0E3F"/>
    <w:rsid w:val="003C4E13"/>
    <w:rsid w:val="003E6435"/>
    <w:rsid w:val="003E71AB"/>
    <w:rsid w:val="004013A9"/>
    <w:rsid w:val="00413897"/>
    <w:rsid w:val="00420474"/>
    <w:rsid w:val="004372CF"/>
    <w:rsid w:val="00447BFD"/>
    <w:rsid w:val="004509DA"/>
    <w:rsid w:val="004564FA"/>
    <w:rsid w:val="00460626"/>
    <w:rsid w:val="0046528A"/>
    <w:rsid w:val="00466346"/>
    <w:rsid w:val="00486D5E"/>
    <w:rsid w:val="00495C29"/>
    <w:rsid w:val="004A1C0A"/>
    <w:rsid w:val="004B23EC"/>
    <w:rsid w:val="004B4DE7"/>
    <w:rsid w:val="004C31B1"/>
    <w:rsid w:val="004D2046"/>
    <w:rsid w:val="004D5565"/>
    <w:rsid w:val="004D65EC"/>
    <w:rsid w:val="004E109F"/>
    <w:rsid w:val="004E2A4A"/>
    <w:rsid w:val="004E6D87"/>
    <w:rsid w:val="004F0966"/>
    <w:rsid w:val="005027DD"/>
    <w:rsid w:val="005139E7"/>
    <w:rsid w:val="00515B8F"/>
    <w:rsid w:val="00522E51"/>
    <w:rsid w:val="00523E13"/>
    <w:rsid w:val="00532797"/>
    <w:rsid w:val="00553C2F"/>
    <w:rsid w:val="00556E30"/>
    <w:rsid w:val="005575B2"/>
    <w:rsid w:val="0056747C"/>
    <w:rsid w:val="0057143D"/>
    <w:rsid w:val="00571C62"/>
    <w:rsid w:val="00572C07"/>
    <w:rsid w:val="00573658"/>
    <w:rsid w:val="00576E85"/>
    <w:rsid w:val="005819FE"/>
    <w:rsid w:val="00590A9A"/>
    <w:rsid w:val="005915AC"/>
    <w:rsid w:val="00591938"/>
    <w:rsid w:val="005A2FB0"/>
    <w:rsid w:val="005B4C24"/>
    <w:rsid w:val="005C193E"/>
    <w:rsid w:val="005C28AB"/>
    <w:rsid w:val="005D01EB"/>
    <w:rsid w:val="005E7F39"/>
    <w:rsid w:val="005F285A"/>
    <w:rsid w:val="005F7F36"/>
    <w:rsid w:val="00610602"/>
    <w:rsid w:val="0063014D"/>
    <w:rsid w:val="00654A9A"/>
    <w:rsid w:val="00655FEE"/>
    <w:rsid w:val="006671FA"/>
    <w:rsid w:val="00684C93"/>
    <w:rsid w:val="00692433"/>
    <w:rsid w:val="00696025"/>
    <w:rsid w:val="0069772A"/>
    <w:rsid w:val="006A1C5F"/>
    <w:rsid w:val="006A394B"/>
    <w:rsid w:val="006A6767"/>
    <w:rsid w:val="006B59BD"/>
    <w:rsid w:val="006D1418"/>
    <w:rsid w:val="006D5DF6"/>
    <w:rsid w:val="006D7409"/>
    <w:rsid w:val="006D7BF0"/>
    <w:rsid w:val="006E07FA"/>
    <w:rsid w:val="006E12D2"/>
    <w:rsid w:val="006E78D3"/>
    <w:rsid w:val="006F5E38"/>
    <w:rsid w:val="00714FFE"/>
    <w:rsid w:val="00730E20"/>
    <w:rsid w:val="00732019"/>
    <w:rsid w:val="007369F9"/>
    <w:rsid w:val="00736A64"/>
    <w:rsid w:val="0074478A"/>
    <w:rsid w:val="00745414"/>
    <w:rsid w:val="00746086"/>
    <w:rsid w:val="0074639D"/>
    <w:rsid w:val="00770518"/>
    <w:rsid w:val="00771103"/>
    <w:rsid w:val="00774E1E"/>
    <w:rsid w:val="00775941"/>
    <w:rsid w:val="00780B13"/>
    <w:rsid w:val="007856B0"/>
    <w:rsid w:val="00786992"/>
    <w:rsid w:val="00793875"/>
    <w:rsid w:val="007A3BA4"/>
    <w:rsid w:val="007A41B3"/>
    <w:rsid w:val="007A65F2"/>
    <w:rsid w:val="007A6BFC"/>
    <w:rsid w:val="007A75C4"/>
    <w:rsid w:val="007B3AD1"/>
    <w:rsid w:val="007C15BA"/>
    <w:rsid w:val="007C3F75"/>
    <w:rsid w:val="007D415B"/>
    <w:rsid w:val="007E4429"/>
    <w:rsid w:val="007E690D"/>
    <w:rsid w:val="007E7221"/>
    <w:rsid w:val="007F03F2"/>
    <w:rsid w:val="007F47FE"/>
    <w:rsid w:val="00824261"/>
    <w:rsid w:val="00827FC2"/>
    <w:rsid w:val="00855D6A"/>
    <w:rsid w:val="00861553"/>
    <w:rsid w:val="008630C0"/>
    <w:rsid w:val="00867BC3"/>
    <w:rsid w:val="00871074"/>
    <w:rsid w:val="00871D99"/>
    <w:rsid w:val="00882825"/>
    <w:rsid w:val="00885025"/>
    <w:rsid w:val="008A6F88"/>
    <w:rsid w:val="008A77EA"/>
    <w:rsid w:val="008C330B"/>
    <w:rsid w:val="008C66B6"/>
    <w:rsid w:val="008C742A"/>
    <w:rsid w:val="008D6C87"/>
    <w:rsid w:val="008E3C7A"/>
    <w:rsid w:val="008E4A4E"/>
    <w:rsid w:val="008E5DFB"/>
    <w:rsid w:val="008F0C79"/>
    <w:rsid w:val="008F5E4C"/>
    <w:rsid w:val="00906EBE"/>
    <w:rsid w:val="009076C5"/>
    <w:rsid w:val="00916F5B"/>
    <w:rsid w:val="009209F4"/>
    <w:rsid w:val="00920C0D"/>
    <w:rsid w:val="00931863"/>
    <w:rsid w:val="00933028"/>
    <w:rsid w:val="009340FF"/>
    <w:rsid w:val="0094501D"/>
    <w:rsid w:val="00965186"/>
    <w:rsid w:val="00967D4D"/>
    <w:rsid w:val="009804D5"/>
    <w:rsid w:val="00982024"/>
    <w:rsid w:val="00984696"/>
    <w:rsid w:val="0098766C"/>
    <w:rsid w:val="00993542"/>
    <w:rsid w:val="009975C9"/>
    <w:rsid w:val="009A2869"/>
    <w:rsid w:val="009B6889"/>
    <w:rsid w:val="009D20E2"/>
    <w:rsid w:val="009D7ED2"/>
    <w:rsid w:val="009E38F2"/>
    <w:rsid w:val="00A03CEA"/>
    <w:rsid w:val="00A141C3"/>
    <w:rsid w:val="00A251B4"/>
    <w:rsid w:val="00A27E91"/>
    <w:rsid w:val="00A400F8"/>
    <w:rsid w:val="00A4171F"/>
    <w:rsid w:val="00A44F74"/>
    <w:rsid w:val="00A45732"/>
    <w:rsid w:val="00A45FF7"/>
    <w:rsid w:val="00A62E75"/>
    <w:rsid w:val="00A71E2A"/>
    <w:rsid w:val="00A74828"/>
    <w:rsid w:val="00A7525D"/>
    <w:rsid w:val="00A96BBB"/>
    <w:rsid w:val="00AB28BC"/>
    <w:rsid w:val="00AC35A1"/>
    <w:rsid w:val="00AC37F8"/>
    <w:rsid w:val="00AD0AC3"/>
    <w:rsid w:val="00AD5D20"/>
    <w:rsid w:val="00AF1ADC"/>
    <w:rsid w:val="00B0320E"/>
    <w:rsid w:val="00B038E1"/>
    <w:rsid w:val="00B10910"/>
    <w:rsid w:val="00B32D46"/>
    <w:rsid w:val="00B42398"/>
    <w:rsid w:val="00B5565A"/>
    <w:rsid w:val="00B57606"/>
    <w:rsid w:val="00B7435D"/>
    <w:rsid w:val="00B74A35"/>
    <w:rsid w:val="00B758BF"/>
    <w:rsid w:val="00B80C9F"/>
    <w:rsid w:val="00B9485D"/>
    <w:rsid w:val="00BA58DD"/>
    <w:rsid w:val="00BB7142"/>
    <w:rsid w:val="00BB7F6C"/>
    <w:rsid w:val="00BC0CE8"/>
    <w:rsid w:val="00BC7F1B"/>
    <w:rsid w:val="00BD1D1A"/>
    <w:rsid w:val="00BE7FE3"/>
    <w:rsid w:val="00C00559"/>
    <w:rsid w:val="00C01C30"/>
    <w:rsid w:val="00C027D1"/>
    <w:rsid w:val="00C05057"/>
    <w:rsid w:val="00C15CF1"/>
    <w:rsid w:val="00C20C9C"/>
    <w:rsid w:val="00C23222"/>
    <w:rsid w:val="00C26803"/>
    <w:rsid w:val="00C31F09"/>
    <w:rsid w:val="00C37037"/>
    <w:rsid w:val="00C46725"/>
    <w:rsid w:val="00C52B0D"/>
    <w:rsid w:val="00C54D44"/>
    <w:rsid w:val="00C561FB"/>
    <w:rsid w:val="00C75DB1"/>
    <w:rsid w:val="00C835F1"/>
    <w:rsid w:val="00C90E6E"/>
    <w:rsid w:val="00CB6254"/>
    <w:rsid w:val="00CB6B09"/>
    <w:rsid w:val="00CC15B8"/>
    <w:rsid w:val="00CC461B"/>
    <w:rsid w:val="00CC61B9"/>
    <w:rsid w:val="00CD4DAB"/>
    <w:rsid w:val="00CD6EB9"/>
    <w:rsid w:val="00CF259D"/>
    <w:rsid w:val="00CF731B"/>
    <w:rsid w:val="00D028F2"/>
    <w:rsid w:val="00D10E3A"/>
    <w:rsid w:val="00D17BE2"/>
    <w:rsid w:val="00D24FB4"/>
    <w:rsid w:val="00D26AF5"/>
    <w:rsid w:val="00D51F83"/>
    <w:rsid w:val="00D70639"/>
    <w:rsid w:val="00D81023"/>
    <w:rsid w:val="00D830DB"/>
    <w:rsid w:val="00D873A1"/>
    <w:rsid w:val="00D87D09"/>
    <w:rsid w:val="00D924E1"/>
    <w:rsid w:val="00DA21A7"/>
    <w:rsid w:val="00DB03C0"/>
    <w:rsid w:val="00DB1786"/>
    <w:rsid w:val="00DB4386"/>
    <w:rsid w:val="00DB5033"/>
    <w:rsid w:val="00DB610B"/>
    <w:rsid w:val="00DB650B"/>
    <w:rsid w:val="00DC2D68"/>
    <w:rsid w:val="00DE5A57"/>
    <w:rsid w:val="00DE5B4A"/>
    <w:rsid w:val="00DF20DC"/>
    <w:rsid w:val="00E025D6"/>
    <w:rsid w:val="00E056D1"/>
    <w:rsid w:val="00E06565"/>
    <w:rsid w:val="00E10067"/>
    <w:rsid w:val="00E107E2"/>
    <w:rsid w:val="00E1425A"/>
    <w:rsid w:val="00E20F8D"/>
    <w:rsid w:val="00E36B66"/>
    <w:rsid w:val="00E60783"/>
    <w:rsid w:val="00E666F9"/>
    <w:rsid w:val="00E86535"/>
    <w:rsid w:val="00E918B3"/>
    <w:rsid w:val="00EA1E15"/>
    <w:rsid w:val="00EA3758"/>
    <w:rsid w:val="00EA566E"/>
    <w:rsid w:val="00EB34ED"/>
    <w:rsid w:val="00EC3CA7"/>
    <w:rsid w:val="00EC4F86"/>
    <w:rsid w:val="00ED3701"/>
    <w:rsid w:val="00EE123C"/>
    <w:rsid w:val="00EE568D"/>
    <w:rsid w:val="00EF7208"/>
    <w:rsid w:val="00F10D2D"/>
    <w:rsid w:val="00F27C82"/>
    <w:rsid w:val="00F30F0B"/>
    <w:rsid w:val="00F43301"/>
    <w:rsid w:val="00F53413"/>
    <w:rsid w:val="00F53EE6"/>
    <w:rsid w:val="00F5654D"/>
    <w:rsid w:val="00F56701"/>
    <w:rsid w:val="00F70CC0"/>
    <w:rsid w:val="00F712C4"/>
    <w:rsid w:val="00F72357"/>
    <w:rsid w:val="00F805A4"/>
    <w:rsid w:val="00F8308D"/>
    <w:rsid w:val="00F93D7E"/>
    <w:rsid w:val="00F94D08"/>
    <w:rsid w:val="00FA1078"/>
    <w:rsid w:val="00FB76B8"/>
    <w:rsid w:val="00FC70FA"/>
    <w:rsid w:val="00FD3CD0"/>
    <w:rsid w:val="00FD4713"/>
    <w:rsid w:val="00FF3734"/>
    <w:rsid w:val="022208B8"/>
    <w:rsid w:val="03C86CD7"/>
    <w:rsid w:val="0A36039E"/>
    <w:rsid w:val="0BDB0048"/>
    <w:rsid w:val="10CC51DF"/>
    <w:rsid w:val="127B6979"/>
    <w:rsid w:val="13C22CA3"/>
    <w:rsid w:val="17092996"/>
    <w:rsid w:val="17EC02EE"/>
    <w:rsid w:val="1B846BA8"/>
    <w:rsid w:val="1BCE69F7"/>
    <w:rsid w:val="1C910E1B"/>
    <w:rsid w:val="1EAA2CB1"/>
    <w:rsid w:val="25873D4C"/>
    <w:rsid w:val="25C127D8"/>
    <w:rsid w:val="27F4193C"/>
    <w:rsid w:val="2C4B7881"/>
    <w:rsid w:val="345A4661"/>
    <w:rsid w:val="3A971092"/>
    <w:rsid w:val="3BB865B6"/>
    <w:rsid w:val="3CC03974"/>
    <w:rsid w:val="3FD64B01"/>
    <w:rsid w:val="401C7C14"/>
    <w:rsid w:val="4A5F6BA7"/>
    <w:rsid w:val="4B9B709A"/>
    <w:rsid w:val="57CA524F"/>
    <w:rsid w:val="5B143094"/>
    <w:rsid w:val="5DF72B16"/>
    <w:rsid w:val="60CE5EDD"/>
    <w:rsid w:val="660E68FD"/>
    <w:rsid w:val="67B31DB9"/>
    <w:rsid w:val="6D203E37"/>
    <w:rsid w:val="6E5518BE"/>
    <w:rsid w:val="705A1A51"/>
    <w:rsid w:val="72C47013"/>
    <w:rsid w:val="74EF5AE6"/>
    <w:rsid w:val="76024A95"/>
    <w:rsid w:val="76EC2FDC"/>
    <w:rsid w:val="7B99009B"/>
    <w:rsid w:val="7FBF0C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 w:val="24"/>
      <w:szCs w:val="20"/>
    </w:rPr>
  </w:style>
  <w:style w:type="paragraph" w:styleId="3">
    <w:name w:val="annotation text"/>
    <w:basedOn w:val="1"/>
    <w:autoRedefine/>
    <w:qFormat/>
    <w:uiPriority w:val="0"/>
    <w:pPr>
      <w:jc w:val="left"/>
    </w:pPr>
  </w:style>
  <w:style w:type="paragraph" w:styleId="4">
    <w:name w:val="Date"/>
    <w:basedOn w:val="1"/>
    <w:next w:val="1"/>
    <w:autoRedefine/>
    <w:qFormat/>
    <w:uiPriority w:val="0"/>
    <w:pPr>
      <w:ind w:left="100" w:leftChars="2500"/>
    </w:pPr>
  </w:style>
  <w:style w:type="paragraph" w:styleId="5">
    <w:name w:val="Balloon Text"/>
    <w:basedOn w:val="1"/>
    <w:autoRedefine/>
    <w:qFormat/>
    <w:uiPriority w:val="0"/>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8">
    <w:name w:val="annotation subject"/>
    <w:basedOn w:val="3"/>
    <w:next w:val="3"/>
    <w:autoRedefine/>
    <w:qFormat/>
    <w:uiPriority w:val="0"/>
    <w:rPr>
      <w:b/>
      <w:bCs/>
    </w:rPr>
  </w:style>
  <w:style w:type="character" w:styleId="11">
    <w:name w:val="page number"/>
    <w:basedOn w:val="10"/>
    <w:autoRedefine/>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页脚 Char"/>
    <w:link w:val="6"/>
    <w:autoRedefine/>
    <w:qFormat/>
    <w:uiPriority w:val="99"/>
    <w:rPr>
      <w:kern w:val="2"/>
      <w:sz w:val="18"/>
      <w:szCs w:val="18"/>
    </w:rPr>
  </w:style>
  <w:style w:type="character" w:customStyle="1" w:styleId="15">
    <w:name w:val="页眉 Char"/>
    <w:link w:val="7"/>
    <w:autoRedefine/>
    <w:qFormat/>
    <w:uiPriority w:val="99"/>
    <w:rPr>
      <w:kern w:val="2"/>
      <w:sz w:val="18"/>
      <w:szCs w:val="18"/>
    </w:rPr>
  </w:style>
  <w:style w:type="paragraph" w:customStyle="1" w:styleId="16">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 Char Char Char Char"/>
    <w:basedOn w:val="1"/>
    <w:autoRedefine/>
    <w:qFormat/>
    <w:uiPriority w:val="0"/>
    <w:pPr>
      <w:widowControl/>
      <w:spacing w:before="312" w:beforeLines="100" w:after="160" w:afterLines="0" w:line="240" w:lineRule="exact"/>
      <w:jc w:val="left"/>
    </w:pPr>
    <w:rPr>
      <w:rFonts w:ascii="Verdana" w:hAnsi="Verdana"/>
      <w:kern w:val="0"/>
      <w:sz w:val="32"/>
      <w:szCs w:val="32"/>
      <w:lang w:eastAsia="en-US"/>
    </w:rPr>
  </w:style>
  <w:style w:type="paragraph" w:customStyle="1" w:styleId="1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 Char"/>
    <w:basedOn w:val="1"/>
    <w:autoRedefine/>
    <w:qFormat/>
    <w:uiPriority w:val="0"/>
  </w:style>
  <w:style w:type="paragraph" w:customStyle="1" w:styleId="20">
    <w:name w:val="1 Char"/>
    <w:basedOn w:val="1"/>
    <w:autoRedefine/>
    <w:qFormat/>
    <w:uiPriority w:val="0"/>
  </w:style>
  <w:style w:type="paragraph" w:customStyle="1" w:styleId="21">
    <w:name w:val="Chapter"/>
    <w:next w:val="1"/>
    <w:autoRedefine/>
    <w:qFormat/>
    <w:uiPriority w:val="99"/>
    <w:pPr>
      <w:keepNext/>
      <w:keepLines/>
      <w:widowControl w:val="0"/>
      <w:spacing w:before="300" w:after="300" w:line="241" w:lineRule="auto"/>
      <w:jc w:val="both"/>
    </w:pPr>
    <w:rPr>
      <w:rFonts w:ascii="Times New Roman" w:hAnsi="Times New Roman" w:eastAsia="宋体" w:cs="Times New Roman"/>
      <w:b/>
      <w:bCs/>
      <w:kern w:val="28"/>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905</Words>
  <Characters>955</Characters>
  <Lines>7</Lines>
  <Paragraphs>2</Paragraphs>
  <TotalTime>13</TotalTime>
  <ScaleCrop>false</ScaleCrop>
  <LinksUpToDate>false</LinksUpToDate>
  <CharactersWithSpaces>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2019-04-22T07:51:00Z</dcterms:created>
  <dc:creator>User</dc:creator>
  <cp:lastModifiedBy>李群</cp:lastModifiedBy>
  <cp:lastPrinted>2020-08-06T07:59:00Z</cp:lastPrinted>
  <dcterms:modified xsi:type="dcterms:W3CDTF">2025-06-03T07:11:27Z</dcterms:modified>
  <dc:title>证券代码：300238      证券简称：冠昊生物       公告编号：2011-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46271863F82649C68DF6B9A6F36D61BE_13</vt:lpwstr>
  </property>
  <property fmtid="{D5CDD505-2E9C-101B-9397-08002B2CF9AE}" pid="4" name="KSOTemplateDocerSaveRecord">
    <vt:lpwstr>eyJoZGlkIjoiYWRlOTk1ZDM4MjkzZjgxMjZiN2M3ZjNmNDQ5NGIzZGYiLCJ1c2VySWQiOiIzNDI3ODI2OTEifQ==</vt:lpwstr>
  </property>
</Properties>
</file>